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EB58DE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74FE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274FE5">
              <w:rPr>
                <w:sz w:val="28"/>
                <w:szCs w:val="28"/>
              </w:rPr>
              <w:t>498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274FE5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3738FC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9140D8">
        <w:rPr>
          <w:bCs/>
          <w:sz w:val="28"/>
          <w:szCs w:val="28"/>
        </w:rPr>
        <w:t>1</w:t>
      </w:r>
      <w:r w:rsidR="00C96AAB">
        <w:rPr>
          <w:bCs/>
          <w:sz w:val="28"/>
          <w:szCs w:val="28"/>
        </w:rPr>
        <w:t>3</w:t>
      </w:r>
      <w:r w:rsidR="00274FE5">
        <w:rPr>
          <w:bCs/>
          <w:sz w:val="28"/>
          <w:szCs w:val="28"/>
        </w:rPr>
        <w:t>,</w:t>
      </w:r>
      <w:r w:rsidR="00C96AAB">
        <w:rPr>
          <w:bCs/>
          <w:sz w:val="28"/>
          <w:szCs w:val="28"/>
        </w:rPr>
        <w:t xml:space="preserve"> Попова А.А.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</w:t>
      </w:r>
      <w:r w:rsidR="00274FE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C96AAB">
        <w:rPr>
          <w:sz w:val="28"/>
          <w:szCs w:val="28"/>
        </w:rPr>
        <w:t>13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6AAB">
        <w:rPr>
          <w:sz w:val="28"/>
          <w:szCs w:val="28"/>
        </w:rPr>
        <w:t>Поповым Алексеем Александровичем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9140D8">
        <w:rPr>
          <w:sz w:val="28"/>
          <w:szCs w:val="28"/>
        </w:rPr>
        <w:t>1</w:t>
      </w:r>
      <w:r w:rsidR="00C96AAB">
        <w:rPr>
          <w:sz w:val="28"/>
          <w:szCs w:val="28"/>
        </w:rPr>
        <w:t>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C96AAB">
        <w:rPr>
          <w:sz w:val="28"/>
          <w:szCs w:val="28"/>
        </w:rPr>
        <w:t>Поповым Алексеем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C96AAB">
        <w:rPr>
          <w:sz w:val="28"/>
          <w:szCs w:val="28"/>
        </w:rPr>
        <w:t>13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C96AAB">
        <w:rPr>
          <w:sz w:val="28"/>
          <w:szCs w:val="28"/>
        </w:rPr>
        <w:t>13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6AAB">
        <w:rPr>
          <w:sz w:val="28"/>
          <w:szCs w:val="28"/>
        </w:rPr>
        <w:t>Попова Алексея Александровича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C96AAB">
        <w:rPr>
          <w:sz w:val="28"/>
          <w:szCs w:val="28"/>
        </w:rPr>
        <w:t>Попову Алексею Александровичу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</w:t>
      </w:r>
      <w:r w:rsidR="005B7EDB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</w:t>
      </w:r>
      <w:r w:rsidR="00274FE5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274FE5">
        <w:rPr>
          <w:sz w:val="28"/>
          <w:szCs w:val="28"/>
        </w:rPr>
        <w:t>Н</w:t>
      </w:r>
      <w:r w:rsidRPr="002B1A86">
        <w:rPr>
          <w:sz w:val="28"/>
          <w:szCs w:val="28"/>
        </w:rPr>
        <w:t>.</w:t>
      </w:r>
      <w:r w:rsidR="00274FE5">
        <w:rPr>
          <w:sz w:val="28"/>
          <w:szCs w:val="28"/>
        </w:rPr>
        <w:t xml:space="preserve"> 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96" w:rsidRDefault="00C23296" w:rsidP="00F25E48">
      <w:r>
        <w:separator/>
      </w:r>
    </w:p>
  </w:endnote>
  <w:endnote w:type="continuationSeparator" w:id="0">
    <w:p w:rsidR="00C23296" w:rsidRDefault="00C23296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738FC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96" w:rsidRDefault="00C23296" w:rsidP="00F25E48">
      <w:r>
        <w:separator/>
      </w:r>
    </w:p>
  </w:footnote>
  <w:footnote w:type="continuationSeparator" w:id="0">
    <w:p w:rsidR="00C23296" w:rsidRDefault="00C23296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59D5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6C23"/>
    <w:rsid w:val="00274FE5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8FC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57708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B7EDB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E5830"/>
    <w:rsid w:val="00BF1E87"/>
    <w:rsid w:val="00C17F2E"/>
    <w:rsid w:val="00C23296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8DE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43</cp:revision>
  <cp:lastPrinted>2016-08-07T00:21:00Z</cp:lastPrinted>
  <dcterms:created xsi:type="dcterms:W3CDTF">2016-08-06T10:32:00Z</dcterms:created>
  <dcterms:modified xsi:type="dcterms:W3CDTF">2017-08-05T10:17:00Z</dcterms:modified>
</cp:coreProperties>
</file>